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</w:rPr>
      </w:pPr>
      <w:r w:rsidRPr="00830872">
        <w:rPr>
          <w:b/>
          <w:bCs/>
          <w:sz w:val="28"/>
          <w:szCs w:val="28"/>
          <w:lang w:val="kk-KZ"/>
        </w:rPr>
        <w:t>Ә</w:t>
      </w:r>
      <w:r w:rsidRPr="00830872">
        <w:rPr>
          <w:b/>
          <w:bCs/>
          <w:sz w:val="28"/>
          <w:szCs w:val="28"/>
        </w:rPr>
        <w:t>л-</w:t>
      </w:r>
      <w:proofErr w:type="spellStart"/>
      <w:r w:rsidRPr="00830872">
        <w:rPr>
          <w:b/>
          <w:bCs/>
          <w:sz w:val="28"/>
          <w:szCs w:val="28"/>
        </w:rPr>
        <w:t>Фараби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атындағы Қазақ Ұлттық Университеті </w:t>
      </w: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</w:rPr>
      </w:pPr>
      <w:r w:rsidRPr="00830872">
        <w:rPr>
          <w:b/>
          <w:bCs/>
          <w:sz w:val="28"/>
          <w:szCs w:val="28"/>
          <w:lang w:val="kk-KZ"/>
        </w:rPr>
        <w:t>Б</w:t>
      </w:r>
      <w:proofErr w:type="spellStart"/>
      <w:r w:rsidRPr="00830872">
        <w:rPr>
          <w:b/>
          <w:bCs/>
          <w:sz w:val="28"/>
          <w:szCs w:val="28"/>
        </w:rPr>
        <w:t>иологи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я және </w:t>
      </w:r>
      <w:proofErr w:type="spellStart"/>
      <w:r w:rsidRPr="00830872">
        <w:rPr>
          <w:b/>
          <w:bCs/>
          <w:sz w:val="28"/>
          <w:szCs w:val="28"/>
        </w:rPr>
        <w:t>биотехнологи</w:t>
      </w:r>
      <w:proofErr w:type="spellEnd"/>
      <w:r w:rsidRPr="00830872">
        <w:rPr>
          <w:b/>
          <w:bCs/>
          <w:sz w:val="28"/>
          <w:szCs w:val="28"/>
          <w:lang w:val="kk-KZ"/>
        </w:rPr>
        <w:t>я ф</w:t>
      </w:r>
      <w:proofErr w:type="spellStart"/>
      <w:r w:rsidRPr="00830872">
        <w:rPr>
          <w:b/>
          <w:bCs/>
          <w:sz w:val="28"/>
          <w:szCs w:val="28"/>
        </w:rPr>
        <w:t>акультет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і </w:t>
      </w: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</w:rPr>
      </w:pPr>
      <w:r w:rsidRPr="00830872">
        <w:rPr>
          <w:b/>
          <w:bCs/>
          <w:sz w:val="28"/>
          <w:szCs w:val="28"/>
          <w:lang w:val="kk-KZ"/>
        </w:rPr>
        <w:t>М</w:t>
      </w:r>
      <w:proofErr w:type="spellStart"/>
      <w:r w:rsidRPr="00830872">
        <w:rPr>
          <w:b/>
          <w:bCs/>
          <w:sz w:val="28"/>
          <w:szCs w:val="28"/>
        </w:rPr>
        <w:t>олекул</w:t>
      </w:r>
      <w:proofErr w:type="spellEnd"/>
      <w:r w:rsidRPr="00830872">
        <w:rPr>
          <w:b/>
          <w:bCs/>
          <w:sz w:val="28"/>
          <w:szCs w:val="28"/>
          <w:lang w:val="kk-KZ"/>
        </w:rPr>
        <w:t>алық</w:t>
      </w:r>
      <w:r w:rsidRPr="00830872">
        <w:rPr>
          <w:b/>
          <w:bCs/>
          <w:sz w:val="28"/>
          <w:szCs w:val="28"/>
        </w:rPr>
        <w:t xml:space="preserve"> биологи</w:t>
      </w:r>
      <w:r w:rsidRPr="00830872">
        <w:rPr>
          <w:b/>
          <w:bCs/>
          <w:sz w:val="28"/>
          <w:szCs w:val="28"/>
          <w:lang w:val="kk-KZ"/>
        </w:rPr>
        <w:t>я және</w:t>
      </w:r>
      <w:r w:rsidRPr="00830872">
        <w:rPr>
          <w:b/>
          <w:bCs/>
          <w:sz w:val="28"/>
          <w:szCs w:val="28"/>
        </w:rPr>
        <w:t xml:space="preserve"> генетик</w:t>
      </w:r>
      <w:r w:rsidRPr="00830872">
        <w:rPr>
          <w:b/>
          <w:bCs/>
          <w:sz w:val="28"/>
          <w:szCs w:val="28"/>
          <w:lang w:val="kk-KZ"/>
        </w:rPr>
        <w:t>а к</w:t>
      </w:r>
      <w:proofErr w:type="spellStart"/>
      <w:r w:rsidRPr="00830872">
        <w:rPr>
          <w:b/>
          <w:bCs/>
          <w:sz w:val="28"/>
          <w:szCs w:val="28"/>
        </w:rPr>
        <w:t>афедра</w:t>
      </w:r>
      <w:proofErr w:type="spellEnd"/>
      <w:r w:rsidRPr="00830872">
        <w:rPr>
          <w:b/>
          <w:bCs/>
          <w:sz w:val="28"/>
          <w:szCs w:val="28"/>
          <w:lang w:val="kk-KZ"/>
        </w:rPr>
        <w:t xml:space="preserve">сы </w:t>
      </w: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sz w:val="28"/>
          <w:szCs w:val="28"/>
        </w:rPr>
      </w:pPr>
    </w:p>
    <w:p w:rsidR="007D1E92" w:rsidRPr="00830872" w:rsidRDefault="007D1E92" w:rsidP="00830872">
      <w:pPr>
        <w:pStyle w:val="Default"/>
        <w:rPr>
          <w:b/>
          <w:bCs/>
          <w:sz w:val="28"/>
          <w:szCs w:val="28"/>
          <w:lang w:val="kk-KZ"/>
        </w:rPr>
      </w:pPr>
      <w:r w:rsidRPr="00830872">
        <w:rPr>
          <w:b/>
          <w:sz w:val="28"/>
          <w:szCs w:val="28"/>
          <w:lang w:val="kk-KZ"/>
        </w:rPr>
        <w:t xml:space="preserve"> ПӘН БОЙЫНША </w:t>
      </w:r>
      <w:r w:rsidRPr="00830872">
        <w:rPr>
          <w:b/>
          <w:bCs/>
          <w:sz w:val="28"/>
          <w:szCs w:val="28"/>
          <w:lang w:val="kk-KZ"/>
        </w:rPr>
        <w:t>ҚОРЫТЫНДЫ ЕМТИХАН БАҒДАРЛАМАСЫ</w:t>
      </w:r>
    </w:p>
    <w:p w:rsidR="00747E50" w:rsidRPr="001031D9" w:rsidRDefault="00747E50" w:rsidP="008308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47E50" w:rsidRPr="00712643" w:rsidRDefault="00410BBB" w:rsidP="0083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RD</w:t>
      </w:r>
      <w:r w:rsidR="00DC2627" w:rsidRPr="007E1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</w:t>
      </w:r>
      <w:r w:rsidR="00712643" w:rsidRPr="007E1199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C2627" w:rsidRPr="007126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4A11" w:rsidRPr="007E119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ДНҚ рекомбинациясы</w:t>
      </w:r>
      <w:bookmarkStart w:id="0" w:name="_GoBack"/>
      <w:bookmarkEnd w:id="0"/>
      <w:r w:rsidR="00324A11" w:rsidRPr="007E119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47E50" w:rsidRPr="000D33F4" w:rsidRDefault="00747E50" w:rsidP="0083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3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E1199" w:rsidRPr="007E11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6B05103</w:t>
      </w:r>
      <w:r w:rsidR="00DC2627" w:rsidRPr="007E119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C2627" w:rsidRPr="000D33F4">
        <w:rPr>
          <w:rFonts w:ascii="Times New Roman" w:hAnsi="Times New Roman" w:cs="Times New Roman"/>
          <w:b/>
          <w:sz w:val="28"/>
          <w:szCs w:val="28"/>
          <w:lang w:val="kk-KZ"/>
        </w:rPr>
        <w:t>Биотехнология</w:t>
      </w:r>
    </w:p>
    <w:p w:rsidR="00747E50" w:rsidRPr="00830872" w:rsidRDefault="009A53A6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872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үзгі </w:t>
      </w:r>
      <w:r w:rsidR="00747E50" w:rsidRPr="00830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семестр, </w:t>
      </w:r>
      <w:r w:rsidR="00324A11" w:rsidRPr="00712643">
        <w:rPr>
          <w:rFonts w:ascii="Times New Roman" w:hAnsi="Times New Roman" w:cs="Times New Roman"/>
          <w:b/>
          <w:sz w:val="28"/>
          <w:szCs w:val="28"/>
        </w:rPr>
        <w:t>3</w:t>
      </w:r>
      <w:r w:rsidR="00747E50" w:rsidRPr="008308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курс, </w:t>
      </w:r>
      <w:r w:rsidR="007E1199" w:rsidRPr="007E1199">
        <w:rPr>
          <w:rFonts w:ascii="Times New Roman" w:hAnsi="Times New Roman" w:cs="Times New Roman"/>
          <w:b/>
          <w:sz w:val="28"/>
          <w:szCs w:val="28"/>
        </w:rPr>
        <w:t>5</w:t>
      </w:r>
      <w:r w:rsidR="00747E50" w:rsidRPr="00830872"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:rsidR="00747E50" w:rsidRPr="00830872" w:rsidRDefault="00747E50" w:rsidP="00830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b/>
          <w:bCs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E92" w:rsidRPr="0083087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ko-KR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кредит саны-</w:t>
      </w:r>
      <w:r w:rsidR="007E1199" w:rsidRPr="00E211D6">
        <w:rPr>
          <w:rFonts w:ascii="Times New Roman" w:hAnsi="Times New Roman" w:cs="Times New Roman"/>
          <w:sz w:val="28"/>
          <w:szCs w:val="28"/>
        </w:rPr>
        <w:t>5</w:t>
      </w:r>
    </w:p>
    <w:p w:rsidR="007D1E92" w:rsidRPr="00830872" w:rsidRDefault="007D1E92" w:rsidP="00830872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Оқу формасы –күндізгі</w:t>
      </w: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830872">
        <w:rPr>
          <w:b/>
          <w:sz w:val="28"/>
          <w:szCs w:val="28"/>
          <w:lang w:val="kk-KZ" w:eastAsia="ko-KR"/>
        </w:rPr>
        <w:t>20</w:t>
      </w:r>
      <w:r w:rsidR="00DC2627">
        <w:rPr>
          <w:b/>
          <w:sz w:val="28"/>
          <w:szCs w:val="28"/>
          <w:lang w:val="kk-KZ" w:eastAsia="ko-KR"/>
        </w:rPr>
        <w:t>2</w:t>
      </w:r>
      <w:r w:rsidR="009A53A6">
        <w:rPr>
          <w:b/>
          <w:sz w:val="28"/>
          <w:szCs w:val="28"/>
          <w:lang w:val="kk-KZ" w:eastAsia="ko-KR"/>
        </w:rPr>
        <w:t>1</w:t>
      </w:r>
      <w:r w:rsidRPr="00830872">
        <w:rPr>
          <w:b/>
          <w:sz w:val="28"/>
          <w:szCs w:val="28"/>
          <w:lang w:val="kk-KZ" w:eastAsia="ko-KR"/>
        </w:rPr>
        <w:t>-202</w:t>
      </w:r>
      <w:r w:rsidR="009A53A6">
        <w:rPr>
          <w:b/>
          <w:sz w:val="28"/>
          <w:szCs w:val="28"/>
          <w:lang w:val="kk-KZ" w:eastAsia="ko-KR"/>
        </w:rPr>
        <w:t>2</w:t>
      </w:r>
      <w:r w:rsidRPr="00830872">
        <w:rPr>
          <w:b/>
          <w:sz w:val="28"/>
          <w:szCs w:val="28"/>
          <w:lang w:val="kk-KZ" w:eastAsia="ko-KR"/>
        </w:rPr>
        <w:t xml:space="preserve"> оқу жылы</w:t>
      </w: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rPr>
          <w:sz w:val="28"/>
          <w:szCs w:val="28"/>
          <w:lang w:val="kk-KZ"/>
        </w:rPr>
      </w:pPr>
    </w:p>
    <w:p w:rsidR="009A53A6" w:rsidRDefault="009A53A6" w:rsidP="00830872">
      <w:pPr>
        <w:pStyle w:val="Default"/>
        <w:rPr>
          <w:sz w:val="28"/>
          <w:szCs w:val="28"/>
          <w:lang w:val="kk-KZ"/>
        </w:rPr>
      </w:pPr>
    </w:p>
    <w:p w:rsidR="009A53A6" w:rsidRDefault="009A53A6" w:rsidP="00830872">
      <w:pPr>
        <w:pStyle w:val="Default"/>
        <w:rPr>
          <w:sz w:val="28"/>
          <w:szCs w:val="28"/>
          <w:lang w:val="kk-KZ"/>
        </w:rPr>
      </w:pPr>
    </w:p>
    <w:p w:rsidR="009A53A6" w:rsidRDefault="009A53A6" w:rsidP="00830872">
      <w:pPr>
        <w:pStyle w:val="Default"/>
        <w:rPr>
          <w:sz w:val="28"/>
          <w:szCs w:val="28"/>
          <w:lang w:val="kk-KZ"/>
        </w:rPr>
      </w:pPr>
    </w:p>
    <w:p w:rsidR="009A53A6" w:rsidRDefault="009A53A6" w:rsidP="00830872">
      <w:pPr>
        <w:pStyle w:val="Default"/>
        <w:rPr>
          <w:sz w:val="28"/>
          <w:szCs w:val="28"/>
          <w:lang w:val="kk-KZ"/>
        </w:rPr>
      </w:pPr>
    </w:p>
    <w:p w:rsidR="009A53A6" w:rsidRPr="00830872" w:rsidRDefault="009A53A6" w:rsidP="00830872">
      <w:pPr>
        <w:pStyle w:val="Default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jc w:val="center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>Алматы 202</w:t>
      </w:r>
      <w:r w:rsidR="00324A11">
        <w:rPr>
          <w:sz w:val="28"/>
          <w:szCs w:val="28"/>
          <w:lang w:val="kk-KZ"/>
        </w:rPr>
        <w:t>1</w:t>
      </w:r>
      <w:r w:rsidRPr="00830872">
        <w:rPr>
          <w:sz w:val="28"/>
          <w:szCs w:val="28"/>
          <w:lang w:val="kk-KZ"/>
        </w:rPr>
        <w:t xml:space="preserve"> ж.</w:t>
      </w:r>
    </w:p>
    <w:p w:rsidR="009A53A6" w:rsidRDefault="007D1E92" w:rsidP="0071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Қорытынды  емтихан бағдарламасын әзірлеген молекулалық биология және генетика кафедрасының </w:t>
      </w:r>
      <w:r w:rsidR="00410BBB">
        <w:rPr>
          <w:rFonts w:ascii="Times New Roman" w:hAnsi="Times New Roman" w:cs="Times New Roman"/>
          <w:sz w:val="28"/>
          <w:szCs w:val="28"/>
          <w:lang w:val="kk-KZ"/>
        </w:rPr>
        <w:t xml:space="preserve">доцент өызметін атқарушы </w:t>
      </w:r>
      <w:r w:rsidR="00410BBB" w:rsidRPr="00410BBB">
        <w:rPr>
          <w:rFonts w:ascii="Times New Roman" w:hAnsi="Times New Roman" w:cs="Times New Roman"/>
          <w:sz w:val="28"/>
          <w:szCs w:val="28"/>
          <w:lang w:val="kk-KZ"/>
        </w:rPr>
        <w:t>PhD</w:t>
      </w:r>
      <w:r w:rsidR="00410BBB">
        <w:rPr>
          <w:rFonts w:ascii="Times New Roman" w:hAnsi="Times New Roman" w:cs="Times New Roman"/>
          <w:sz w:val="28"/>
          <w:szCs w:val="28"/>
          <w:lang w:val="kk-KZ"/>
        </w:rPr>
        <w:t xml:space="preserve"> Тайпақова С.М.</w:t>
      </w:r>
      <w:r w:rsidR="009A53A6" w:rsidRPr="009A53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1E92" w:rsidRPr="00830872" w:rsidRDefault="00D47CD7" w:rsidP="0071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7CD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6B05103</w:t>
      </w:r>
      <w:r w:rsidR="009A53A6" w:rsidRPr="008308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– Биотехнология </w:t>
      </w:r>
      <w:r w:rsidR="009A53A6" w:rsidRPr="00830872">
        <w:rPr>
          <w:rFonts w:ascii="Times New Roman" w:hAnsi="Times New Roman" w:cs="Times New Roman"/>
          <w:sz w:val="28"/>
          <w:szCs w:val="28"/>
          <w:lang w:val="kk-KZ"/>
        </w:rPr>
        <w:t>мамандығы білім беру бағдарламасы бойынша негізгі оқу жоспарына сәйкес.</w:t>
      </w: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Молекулалық биология және генетика кафедрасының мәжілісінде қарастырылды және ұсынылды. </w:t>
      </w:r>
    </w:p>
    <w:p w:rsidR="007D1E92" w:rsidRPr="00830872" w:rsidRDefault="007D1E92" w:rsidP="0083087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830872">
        <w:rPr>
          <w:rFonts w:ascii="Times New Roman" w:hAnsi="Times New Roman" w:cs="Times New Roman"/>
          <w:b w:val="0"/>
          <w:color w:val="auto"/>
          <w:lang w:val="kk-KZ"/>
        </w:rPr>
        <w:t>«____» _________ 202</w:t>
      </w:r>
      <w:r w:rsidR="00324A11">
        <w:rPr>
          <w:rFonts w:ascii="Times New Roman" w:hAnsi="Times New Roman" w:cs="Times New Roman"/>
          <w:b w:val="0"/>
          <w:color w:val="auto"/>
          <w:lang w:val="kk-KZ"/>
        </w:rPr>
        <w:t>1</w:t>
      </w: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ж. Мәжіліс хаттамасы № </w:t>
      </w:r>
      <w:r w:rsidRPr="00830872">
        <w:rPr>
          <w:rFonts w:ascii="Times New Roman" w:hAnsi="Times New Roman" w:cs="Times New Roman"/>
          <w:color w:val="auto"/>
          <w:lang w:val="kk-KZ"/>
        </w:rPr>
        <w:t>____</w:t>
      </w:r>
      <w:r w:rsidRPr="00830872">
        <w:rPr>
          <w:rFonts w:ascii="Times New Roman" w:hAnsi="Times New Roman" w:cs="Times New Roman"/>
          <w:b w:val="0"/>
          <w:color w:val="auto"/>
          <w:lang w:val="kk-KZ"/>
        </w:rPr>
        <w:t xml:space="preserve">__. </w:t>
      </w: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0872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="007E11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08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____________ </w:t>
      </w:r>
      <w:r w:rsidR="009A53A6">
        <w:rPr>
          <w:rFonts w:ascii="Times New Roman" w:hAnsi="Times New Roman" w:cs="Times New Roman"/>
          <w:sz w:val="28"/>
          <w:szCs w:val="28"/>
          <w:lang w:val="kk-KZ"/>
        </w:rPr>
        <w:t>Жунусбаева Ж.К.</w:t>
      </w:r>
      <w:r w:rsidRPr="008308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830872" w:rsidRPr="00830872" w:rsidRDefault="00830872" w:rsidP="00830872">
      <w:pPr>
        <w:pStyle w:val="Default"/>
        <w:rPr>
          <w:sz w:val="28"/>
          <w:szCs w:val="28"/>
          <w:lang w:val="kk-KZ"/>
        </w:rPr>
      </w:pPr>
    </w:p>
    <w:p w:rsidR="007D1E92" w:rsidRPr="00830872" w:rsidRDefault="007D1E92" w:rsidP="00830872">
      <w:pPr>
        <w:pStyle w:val="Default"/>
        <w:rPr>
          <w:sz w:val="28"/>
          <w:szCs w:val="28"/>
          <w:lang w:val="kk-KZ"/>
        </w:rPr>
      </w:pPr>
    </w:p>
    <w:p w:rsidR="00E8641E" w:rsidRPr="00324A11" w:rsidRDefault="00324A11" w:rsidP="009A53A6">
      <w:pPr>
        <w:spacing w:before="62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64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="00410BBB">
        <w:rPr>
          <w:rFonts w:ascii="Times New Roman" w:hAnsi="Times New Roman" w:cs="Times New Roman"/>
          <w:b/>
          <w:sz w:val="28"/>
          <w:szCs w:val="28"/>
          <w:lang w:val="kk-KZ"/>
        </w:rPr>
        <w:t>ДНҚ рекомбинациясы</w:t>
      </w:r>
      <w:r w:rsidRPr="007126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712643">
        <w:rPr>
          <w:rFonts w:ascii="Times New Roman" w:hAnsi="Times New Roman" w:cs="Times New Roman"/>
          <w:sz w:val="28"/>
          <w:szCs w:val="28"/>
          <w:lang w:val="kk-KZ"/>
        </w:rPr>
        <w:t>курс бағдарламасы кредиттік технология негізінде «</w:t>
      </w:r>
      <w:r w:rsidR="00D47CD7" w:rsidRPr="00D47CD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6B05103</w:t>
      </w:r>
      <w:r w:rsidR="00D47C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712643">
        <w:rPr>
          <w:rFonts w:ascii="Times New Roman" w:hAnsi="Times New Roman" w:cs="Times New Roman"/>
          <w:sz w:val="28"/>
          <w:szCs w:val="28"/>
          <w:lang w:val="kk-KZ"/>
        </w:rPr>
        <w:t>- Биотехноло</w:t>
      </w:r>
      <w:r w:rsidR="009A53A6">
        <w:rPr>
          <w:rFonts w:ascii="Times New Roman" w:hAnsi="Times New Roman" w:cs="Times New Roman"/>
          <w:sz w:val="28"/>
          <w:szCs w:val="28"/>
          <w:lang w:val="kk-KZ"/>
        </w:rPr>
        <w:t xml:space="preserve">гия» мамандығы бойынша бакалавр </w:t>
      </w:r>
      <w:r w:rsidRPr="00712643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студенттерді дайындайтын университеттерге арналған </w:t>
      </w:r>
      <w:r w:rsidR="00410BBB">
        <w:rPr>
          <w:rFonts w:ascii="Times New Roman" w:hAnsi="Times New Roman" w:cs="Times New Roman"/>
          <w:sz w:val="28"/>
          <w:szCs w:val="28"/>
          <w:lang w:val="kk-KZ"/>
        </w:rPr>
        <w:t>таңдау компоненті</w:t>
      </w:r>
      <w:r w:rsidRPr="00712643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 </w:t>
      </w:r>
    </w:p>
    <w:p w:rsidR="007D1E92" w:rsidRDefault="007D1E92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Пән бойынша қорытынды емтихан алу әдісі – </w:t>
      </w:r>
      <w:r w:rsidR="000D33F4">
        <w:rPr>
          <w:sz w:val="28"/>
          <w:szCs w:val="28"/>
          <w:lang w:val="kk-KZ"/>
        </w:rPr>
        <w:t>универ жүйесінде тест түрінде</w:t>
      </w:r>
      <w:r w:rsidRPr="00830872">
        <w:rPr>
          <w:sz w:val="28"/>
          <w:szCs w:val="28"/>
          <w:lang w:val="kk-KZ"/>
        </w:rPr>
        <w:t xml:space="preserve">. </w:t>
      </w: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2C7592">
        <w:rPr>
          <w:sz w:val="28"/>
          <w:szCs w:val="28"/>
          <w:lang w:val="kk-KZ"/>
        </w:rPr>
        <w:t>Тестілеуді бақылау - интерактивті прокторинг.</w:t>
      </w:r>
      <w:r w:rsidR="00324A11">
        <w:rPr>
          <w:sz w:val="28"/>
          <w:szCs w:val="28"/>
          <w:lang w:val="kk-KZ"/>
        </w:rPr>
        <w:t xml:space="preserve"> </w:t>
      </w:r>
      <w:r w:rsidRPr="002C7592">
        <w:rPr>
          <w:sz w:val="28"/>
          <w:szCs w:val="28"/>
          <w:lang w:val="kk-KZ"/>
        </w:rPr>
        <w:t>Прокторлау технологиясы (ағылшынша «proctor» - емтихан барысын бақылау үшін).Прокторлар әдеттегідей сыныптағы емтихандағыдай емтихан алушылардың тестіден адал өтуіне: олар тапсырмаларды өздігінен орында</w:t>
      </w:r>
      <w:r>
        <w:rPr>
          <w:sz w:val="28"/>
          <w:szCs w:val="28"/>
          <w:lang w:val="kk-KZ"/>
        </w:rPr>
        <w:t>уын</w:t>
      </w:r>
      <w:r w:rsidRPr="002C7592">
        <w:rPr>
          <w:sz w:val="28"/>
          <w:szCs w:val="28"/>
          <w:lang w:val="kk-KZ"/>
        </w:rPr>
        <w:t xml:space="preserve"> және қосымша материалдар пайдаланба</w:t>
      </w:r>
      <w:r>
        <w:rPr>
          <w:sz w:val="28"/>
          <w:szCs w:val="28"/>
          <w:lang w:val="kk-KZ"/>
        </w:rPr>
        <w:t>уына</w:t>
      </w:r>
      <w:r w:rsidRPr="002C7592">
        <w:rPr>
          <w:sz w:val="28"/>
          <w:szCs w:val="28"/>
          <w:lang w:val="kk-KZ"/>
        </w:rPr>
        <w:t xml:space="preserve"> көз жеткізеді</w:t>
      </w:r>
      <w:r>
        <w:rPr>
          <w:sz w:val="28"/>
          <w:szCs w:val="28"/>
          <w:lang w:val="kk-KZ"/>
        </w:rPr>
        <w:t>. Онлайн емтиханды нақты уақытта м</w:t>
      </w:r>
      <w:r w:rsidRPr="002C7592">
        <w:rPr>
          <w:sz w:val="28"/>
          <w:szCs w:val="28"/>
          <w:lang w:val="kk-KZ"/>
        </w:rPr>
        <w:t>аман да және басқаратын бағдарлама</w:t>
      </w:r>
      <w:r>
        <w:rPr>
          <w:sz w:val="28"/>
          <w:szCs w:val="28"/>
          <w:lang w:val="kk-KZ"/>
        </w:rPr>
        <w:t xml:space="preserve"> бақылай алады. Прокторинг барысында студенттің </w:t>
      </w:r>
      <w:r w:rsidRPr="002C7592">
        <w:rPr>
          <w:sz w:val="28"/>
          <w:szCs w:val="28"/>
          <w:lang w:val="kk-KZ"/>
        </w:rPr>
        <w:t>жұмыс үстелі, жақтаудағы беттер саны, бөгде дыбыстар немесе дауыстар, тіпті көзқарас қозғалыстары (киберпрокторлау)</w:t>
      </w:r>
      <w:r>
        <w:rPr>
          <w:sz w:val="28"/>
          <w:szCs w:val="28"/>
          <w:lang w:val="kk-KZ"/>
        </w:rPr>
        <w:t xml:space="preserve"> бақыланады</w:t>
      </w:r>
      <w:r w:rsidRPr="002C7592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Емтихан барысында а</w:t>
      </w:r>
      <w:r w:rsidRPr="002C7592">
        <w:rPr>
          <w:sz w:val="28"/>
          <w:szCs w:val="28"/>
          <w:lang w:val="kk-KZ"/>
        </w:rPr>
        <w:t xml:space="preserve">ралас прокторлау қолданылады: бағдарламаның жазбалары бар емтиханның бейнежазбасын </w:t>
      </w:r>
      <w:r>
        <w:rPr>
          <w:sz w:val="28"/>
          <w:szCs w:val="28"/>
          <w:lang w:val="kk-KZ"/>
        </w:rPr>
        <w:t>проктор маман</w:t>
      </w:r>
      <w:r w:rsidRPr="002C7592">
        <w:rPr>
          <w:sz w:val="28"/>
          <w:szCs w:val="28"/>
          <w:lang w:val="kk-KZ"/>
        </w:rPr>
        <w:t xml:space="preserve"> қосымша көреді және заң бұзушылықтардың болған-болмағанын шешеді.</w:t>
      </w: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Емтихан уақыты:</w:t>
      </w:r>
      <w:r>
        <w:rPr>
          <w:sz w:val="28"/>
          <w:szCs w:val="28"/>
          <w:lang w:val="kk-KZ"/>
        </w:rPr>
        <w:t xml:space="preserve"> Е</w:t>
      </w:r>
      <w:r w:rsidRPr="002C7592">
        <w:rPr>
          <w:sz w:val="28"/>
          <w:szCs w:val="28"/>
          <w:lang w:val="kk-KZ"/>
        </w:rPr>
        <w:t>мтихан кесте бойынша өткізіледі</w:t>
      </w:r>
      <w:r>
        <w:rPr>
          <w:sz w:val="28"/>
          <w:szCs w:val="28"/>
          <w:lang w:val="kk-KZ"/>
        </w:rPr>
        <w:t>.</w:t>
      </w: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Емтихан ұзақтығы:</w:t>
      </w:r>
      <w:r>
        <w:rPr>
          <w:sz w:val="28"/>
          <w:szCs w:val="28"/>
          <w:lang w:val="kk-KZ"/>
        </w:rPr>
        <w:t xml:space="preserve"> </w:t>
      </w:r>
      <w:r w:rsidRPr="002C7592">
        <w:rPr>
          <w:sz w:val="28"/>
          <w:szCs w:val="28"/>
          <w:lang w:val="kk-KZ"/>
        </w:rPr>
        <w:t>Универ</w:t>
      </w:r>
      <w:r>
        <w:rPr>
          <w:sz w:val="28"/>
          <w:szCs w:val="28"/>
          <w:lang w:val="kk-KZ"/>
        </w:rPr>
        <w:t xml:space="preserve"> жүйесінде тест </w:t>
      </w:r>
      <w:r w:rsidRPr="002C7592">
        <w:rPr>
          <w:sz w:val="28"/>
          <w:szCs w:val="28"/>
          <w:lang w:val="kk-KZ"/>
        </w:rPr>
        <w:t xml:space="preserve"> ұзақтығы 40 сұрақ үшін 90 минут</w:t>
      </w:r>
      <w:r>
        <w:rPr>
          <w:sz w:val="28"/>
          <w:szCs w:val="28"/>
          <w:lang w:val="kk-KZ"/>
        </w:rPr>
        <w:t xml:space="preserve"> құрайды.</w:t>
      </w: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Мүмкіндік саны</w:t>
      </w:r>
      <w:r>
        <w:rPr>
          <w:sz w:val="28"/>
          <w:szCs w:val="28"/>
          <w:lang w:val="kk-KZ"/>
        </w:rPr>
        <w:t xml:space="preserve"> 1. 1 сұрақта 1 дұрыс жауап. Тест сұрақтарының күрделілігі- орташа.</w:t>
      </w: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</w:p>
    <w:p w:rsidR="00E8641E" w:rsidRPr="00E31CC9" w:rsidRDefault="00E8641E" w:rsidP="009A53A6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  <w:r w:rsidRPr="00E31CC9">
        <w:rPr>
          <w:b/>
          <w:sz w:val="28"/>
          <w:szCs w:val="28"/>
          <w:lang w:val="kk-KZ"/>
        </w:rPr>
        <w:t>«</w:t>
      </w:r>
      <w:r w:rsidR="00E31CC9" w:rsidRPr="00E31CC9">
        <w:rPr>
          <w:b/>
          <w:sz w:val="28"/>
          <w:szCs w:val="28"/>
          <w:lang w:val="kk-KZ"/>
        </w:rPr>
        <w:t>Генетикалық инженерия</w:t>
      </w:r>
      <w:r w:rsidRPr="00E31CC9">
        <w:rPr>
          <w:b/>
          <w:sz w:val="28"/>
          <w:szCs w:val="28"/>
          <w:lang w:val="kk-KZ"/>
        </w:rPr>
        <w:t xml:space="preserve">» пәні бойынша қорытынды емтиханды бағалау шкаласы:  </w:t>
      </w:r>
    </w:p>
    <w:p w:rsidR="00E8641E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Дұрыс жауап  2,5 баллмен бағаланады. 40 сұраққа дұрыс жауап 100</w:t>
      </w:r>
      <w:r w:rsidR="00E31CC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балл</w:t>
      </w:r>
    </w:p>
    <w:p w:rsidR="00E8641E" w:rsidRPr="00830872" w:rsidRDefault="00E8641E" w:rsidP="009A53A6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А (90-100%)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оқу материалын мұқият зерттеді; қойылған сұрақтарға дәйекті және толық жауап береді; алған білімдерін практикада еркін қолданады.</w:t>
      </w:r>
    </w:p>
    <w:p w:rsidR="00E8641E" w:rsidRPr="00830872" w:rsidRDefault="00E8641E" w:rsidP="009A53A6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Б (75-89%)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оқу материалын біледі; жауап беру кезінде елеулі қателіктерге жол бермейді; алған білімін тәжірибеде қолдана алады.</w:t>
      </w:r>
    </w:p>
    <w:p w:rsidR="00E8641E" w:rsidRPr="00830872" w:rsidRDefault="00E8641E" w:rsidP="009A53A6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С (60-74%)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 xml:space="preserve"> тек негізгі материалды біледі, әрдайым нақты және толық жауап бермейді.</w:t>
      </w:r>
    </w:p>
    <w:p w:rsidR="00E8641E" w:rsidRPr="00830872" w:rsidRDefault="00E8641E" w:rsidP="009A53A6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t>D (50-59%)</w:t>
      </w:r>
      <w:r w:rsidRPr="00830872">
        <w:rPr>
          <w:bCs/>
          <w:sz w:val="28"/>
          <w:szCs w:val="28"/>
          <w:lang w:val="kk-KZ"/>
        </w:rPr>
        <w:t xml:space="preserve"> - </w:t>
      </w:r>
      <w:r>
        <w:rPr>
          <w:bCs/>
          <w:sz w:val="28"/>
          <w:szCs w:val="28"/>
          <w:lang w:val="kk-KZ"/>
        </w:rPr>
        <w:t>студент</w:t>
      </w:r>
      <w:r w:rsidRPr="00830872">
        <w:rPr>
          <w:bCs/>
          <w:sz w:val="28"/>
          <w:szCs w:val="28"/>
          <w:lang w:val="kk-KZ"/>
        </w:rPr>
        <w:t>т</w:t>
      </w:r>
      <w:r>
        <w:rPr>
          <w:bCs/>
          <w:sz w:val="28"/>
          <w:szCs w:val="28"/>
          <w:lang w:val="kk-KZ"/>
        </w:rPr>
        <w:t>і</w:t>
      </w:r>
      <w:r w:rsidRPr="00830872">
        <w:rPr>
          <w:bCs/>
          <w:sz w:val="28"/>
          <w:szCs w:val="28"/>
          <w:lang w:val="kk-KZ"/>
        </w:rPr>
        <w:t>ң оқылатын материал туралы жеке түсініктері бар; қойылған сұрақтарға толық және дұрыс жауап бере алмайды, жауап беру кезінде ол дөрекі қателіктер жібереді.</w:t>
      </w:r>
    </w:p>
    <w:p w:rsidR="00E8641E" w:rsidRPr="00830872" w:rsidRDefault="00E8641E" w:rsidP="009A53A6">
      <w:pPr>
        <w:pStyle w:val="Default"/>
        <w:ind w:firstLine="567"/>
        <w:jc w:val="both"/>
        <w:rPr>
          <w:b/>
          <w:sz w:val="28"/>
          <w:szCs w:val="28"/>
          <w:lang w:val="kk-KZ"/>
        </w:rPr>
      </w:pPr>
      <w:r w:rsidRPr="00830872">
        <w:rPr>
          <w:b/>
          <w:sz w:val="28"/>
          <w:szCs w:val="28"/>
          <w:lang w:val="kk-KZ"/>
        </w:rPr>
        <w:t>Емтихан т</w:t>
      </w:r>
      <w:r>
        <w:rPr>
          <w:b/>
          <w:sz w:val="28"/>
          <w:szCs w:val="28"/>
          <w:lang w:val="kk-KZ"/>
        </w:rPr>
        <w:t>ест</w:t>
      </w:r>
      <w:r w:rsidRPr="00830872">
        <w:rPr>
          <w:b/>
          <w:sz w:val="28"/>
          <w:szCs w:val="28"/>
          <w:lang w:val="kk-KZ"/>
        </w:rPr>
        <w:t xml:space="preserve"> сұрақтарының жауабын бағалау расбалловкасы:</w:t>
      </w:r>
    </w:p>
    <w:p w:rsidR="00E8641E" w:rsidRPr="00830872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Өте жақсы: </w:t>
      </w:r>
      <w:r>
        <w:rPr>
          <w:sz w:val="28"/>
          <w:szCs w:val="28"/>
          <w:lang w:val="kk-KZ"/>
        </w:rPr>
        <w:t>90</w:t>
      </w:r>
      <w:r w:rsidRPr="00830872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10</w:t>
      </w:r>
      <w:r w:rsidRPr="00830872">
        <w:rPr>
          <w:sz w:val="28"/>
          <w:szCs w:val="28"/>
          <w:lang w:val="kk-KZ"/>
        </w:rPr>
        <w:t xml:space="preserve">0 балл </w:t>
      </w:r>
    </w:p>
    <w:p w:rsidR="00E8641E" w:rsidRPr="00830872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Жақсы: </w:t>
      </w:r>
      <w:r>
        <w:rPr>
          <w:sz w:val="28"/>
          <w:szCs w:val="28"/>
          <w:lang w:val="kk-KZ"/>
        </w:rPr>
        <w:t>70</w:t>
      </w:r>
      <w:r w:rsidRPr="00830872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89</w:t>
      </w:r>
      <w:r w:rsidRPr="00830872">
        <w:rPr>
          <w:sz w:val="28"/>
          <w:szCs w:val="28"/>
          <w:lang w:val="kk-KZ"/>
        </w:rPr>
        <w:t xml:space="preserve"> балл </w:t>
      </w:r>
    </w:p>
    <w:p w:rsidR="00E8641E" w:rsidRPr="00830872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 xml:space="preserve">Қанағаттанарлық: </w:t>
      </w:r>
      <w:r>
        <w:rPr>
          <w:sz w:val="28"/>
          <w:szCs w:val="28"/>
          <w:lang w:val="kk-KZ"/>
        </w:rPr>
        <w:t>50</w:t>
      </w:r>
      <w:r w:rsidRPr="00830872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69</w:t>
      </w:r>
      <w:r w:rsidRPr="00830872">
        <w:rPr>
          <w:sz w:val="28"/>
          <w:szCs w:val="28"/>
          <w:lang w:val="kk-KZ"/>
        </w:rPr>
        <w:t xml:space="preserve"> балл </w:t>
      </w:r>
    </w:p>
    <w:p w:rsidR="00E8641E" w:rsidRPr="00830872" w:rsidRDefault="00E8641E" w:rsidP="009A53A6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830872">
        <w:rPr>
          <w:sz w:val="28"/>
          <w:szCs w:val="28"/>
          <w:lang w:val="kk-KZ"/>
        </w:rPr>
        <w:t>Қанағаттанарлық емес: 0-</w:t>
      </w:r>
      <w:r>
        <w:rPr>
          <w:sz w:val="28"/>
          <w:szCs w:val="28"/>
          <w:lang w:val="kk-KZ"/>
        </w:rPr>
        <w:t>49</w:t>
      </w:r>
      <w:r w:rsidRPr="00830872">
        <w:rPr>
          <w:sz w:val="28"/>
          <w:szCs w:val="28"/>
          <w:lang w:val="kk-KZ"/>
        </w:rPr>
        <w:t xml:space="preserve"> балл </w:t>
      </w:r>
    </w:p>
    <w:p w:rsidR="00E8641E" w:rsidRDefault="00E8641E" w:rsidP="00E8641E">
      <w:pPr>
        <w:pStyle w:val="Default"/>
        <w:ind w:firstLine="708"/>
        <w:jc w:val="both"/>
        <w:rPr>
          <w:sz w:val="28"/>
          <w:szCs w:val="28"/>
          <w:lang w:val="kk-KZ"/>
        </w:rPr>
      </w:pPr>
    </w:p>
    <w:p w:rsidR="00AB2C76" w:rsidRPr="00830872" w:rsidRDefault="00AB2C76" w:rsidP="000D33F4">
      <w:pPr>
        <w:pStyle w:val="Default"/>
        <w:jc w:val="both"/>
        <w:rPr>
          <w:sz w:val="28"/>
          <w:szCs w:val="28"/>
          <w:lang w:val="kk-KZ"/>
        </w:rPr>
      </w:pPr>
    </w:p>
    <w:p w:rsidR="007D1E92" w:rsidRDefault="007D1E92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830872">
        <w:rPr>
          <w:b/>
          <w:bCs/>
          <w:sz w:val="28"/>
          <w:szCs w:val="28"/>
          <w:lang w:val="kk-KZ"/>
        </w:rPr>
        <w:lastRenderedPageBreak/>
        <w:t>ТАПСЫРМАЛАРДЫҢ</w:t>
      </w:r>
      <w:r w:rsidRPr="00712643">
        <w:rPr>
          <w:b/>
          <w:bCs/>
          <w:sz w:val="28"/>
          <w:szCs w:val="28"/>
          <w:lang w:val="kk-KZ"/>
        </w:rPr>
        <w:t xml:space="preserve"> ТАҚЫРЫПТЫҚ ЖОСПАРЫ </w:t>
      </w:r>
    </w:p>
    <w:p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tbl>
      <w:tblPr>
        <w:tblStyle w:val="TableNormal"/>
        <w:tblW w:w="95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8979"/>
      </w:tblGrid>
      <w:tr w:rsidR="00324A11" w:rsidRPr="00324A11" w:rsidTr="00012D73">
        <w:trPr>
          <w:trHeight w:val="275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ind w:left="300" w:right="294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№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pStyle w:val="TableParagraph"/>
              <w:ind w:left="3214" w:right="3214"/>
              <w:jc w:val="center"/>
              <w:rPr>
                <w:b/>
                <w:sz w:val="24"/>
                <w:szCs w:val="24"/>
              </w:rPr>
            </w:pPr>
            <w:r w:rsidRPr="00324A11">
              <w:rPr>
                <w:b/>
                <w:sz w:val="24"/>
                <w:szCs w:val="24"/>
              </w:rPr>
              <w:t>Тақырыптың аты</w:t>
            </w:r>
          </w:p>
        </w:tc>
      </w:tr>
      <w:tr w:rsidR="00324A11" w:rsidRPr="00410BBB" w:rsidTr="00012D73">
        <w:trPr>
          <w:trHeight w:val="280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</w:t>
            </w:r>
          </w:p>
        </w:tc>
        <w:tc>
          <w:tcPr>
            <w:tcW w:w="8979" w:type="dxa"/>
          </w:tcPr>
          <w:p w:rsidR="00324A11" w:rsidRPr="00712643" w:rsidRDefault="00324A11" w:rsidP="00012D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Гендік инженерияның негізгі принциптері,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болуының алғы шарттары.</w:t>
            </w:r>
          </w:p>
        </w:tc>
      </w:tr>
      <w:tr w:rsidR="00324A11" w:rsidRPr="00324A11" w:rsidTr="00012D73">
        <w:trPr>
          <w:trHeight w:val="283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70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2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Рекомбинантты</w:t>
            </w:r>
            <w:proofErr w:type="spellEnd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ДНҚ </w:t>
            </w:r>
            <w:proofErr w:type="spellStart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құрастыру</w:t>
            </w:r>
            <w:proofErr w:type="spellEnd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әдістемелері</w:t>
            </w:r>
            <w:proofErr w:type="spellEnd"/>
            <w:r w:rsidRPr="00324A11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:rsidTr="00012D73">
        <w:trPr>
          <w:trHeight w:val="47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3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Гендік инженерияда қолданылатын ферменттер.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Рестрикциялаушы эндонуклеазалар.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ДНК-полимераза.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Кері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транскриптаза. ДНК-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лигаза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Полинуклеотид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киназа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Терминальді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фосфотаза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Сілтілі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фосфотаза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Поли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А-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полимераза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4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Прокариот және эукариот жүйелерінде клондаудық молекулалық векторлары.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Бактериялық плазмидаларға жалпы  түсініктеме. Плазмидалық векторларға қойылатын шарттар. рBR322 плазмидалық векторы. </w:t>
            </w:r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6C"/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бактериофагының геномы негізіндегі векторлар.  </w:t>
            </w:r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6C"/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бактериофагының литикалық және лизогениялық даму жолдары.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Космидті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векторлардың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конструкцисы</w:t>
            </w:r>
            <w:proofErr w:type="spellEnd"/>
            <w:proofErr w:type="gram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  </w:t>
            </w:r>
          </w:p>
        </w:tc>
      </w:tr>
      <w:tr w:rsidR="00324A11" w:rsidRPr="00410BBB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5</w:t>
            </w:r>
          </w:p>
          <w:p w:rsidR="00324A11" w:rsidRPr="00324A11" w:rsidRDefault="00324A11" w:rsidP="00012D7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8979" w:type="dxa"/>
          </w:tcPr>
          <w:p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Трансформацияланған клеткалар скринингі.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Маркерлік гендер: селективті маркерлік гендер және репортерлік гендер.</w:t>
            </w:r>
          </w:p>
        </w:tc>
      </w:tr>
      <w:tr w:rsidR="00324A11" w:rsidRPr="00324A11" w:rsidTr="00012D73">
        <w:trPr>
          <w:trHeight w:val="352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6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Генетикалық ақпараттың жүзеге асуы.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Прокариот гендерінің экспрессиясын реттеуші элементтер. Транскрипция және трансляция деңгейлеріндегі гендер экспресиясының реттелу механизмдері туралы түсінік. Бактериялық гендердің оперондық құрлымы. Лактозалық опероны негізіндегі Ж. Моно және Ф. Жакоб теориясы. 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Триптофан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опероны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7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Эукариот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жүйесінде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 гендер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экспрессиясының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реттелуі</w:t>
            </w:r>
            <w:proofErr w:type="spellEnd"/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ru-RU" w:eastAsia="ko-KR"/>
              </w:rPr>
              <w:t>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гендерінің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структуралық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күрделілігі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гендерінің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мозайкалы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структурасы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Транскрипциялық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маңызды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ДНҚ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аудандары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ТАТА-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бокстары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энхансерлер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ААТААА-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басқалары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мРНҚ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процессингі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кэптену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метилдену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полиаденилдену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Эукариот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мРНҚ-ның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транцлияциясының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иницияциясының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М.Козак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моделі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Прокариот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және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эукариот гендер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экспрессиясының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реттелуінің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айырмашылықтары</w:t>
            </w:r>
            <w:proofErr w:type="spellEnd"/>
            <w:r w:rsidRPr="00712643">
              <w:rPr>
                <w:rFonts w:ascii="Times New Roman" w:hAnsi="Times New Roman" w:cs="Times New Roman"/>
                <w:sz w:val="24"/>
                <w:szCs w:val="24"/>
                <w:lang w:val="ru-RU" w:eastAsia="ko-KR"/>
              </w:rPr>
              <w:t>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Эукариот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гендерінің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структуралық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күрделілігі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A11" w:rsidRPr="00410BBB" w:rsidTr="00012D73">
        <w:trPr>
          <w:trHeight w:val="297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8</w:t>
            </w:r>
          </w:p>
        </w:tc>
        <w:tc>
          <w:tcPr>
            <w:tcW w:w="8979" w:type="dxa"/>
          </w:tcPr>
          <w:p w:rsidR="00324A11" w:rsidRPr="00712643" w:rsidRDefault="00324A11" w:rsidP="00012D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Прокариот және эукариот гендер экспрессиясының реттелуінің айырмашылықтары.</w:t>
            </w:r>
          </w:p>
        </w:tc>
      </w:tr>
      <w:tr w:rsidR="00324A11" w:rsidRPr="00410BBB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9</w:t>
            </w:r>
          </w:p>
        </w:tc>
        <w:tc>
          <w:tcPr>
            <w:tcW w:w="8979" w:type="dxa"/>
          </w:tcPr>
          <w:p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S</w:t>
            </w:r>
            <w:r w:rsidRPr="0071264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.cerevisiae</w:t>
            </w: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ашытқы клеткаларының гендік-инженериялық жүйесі.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Сахаромицет - ашытқыларының генетикалық ұйымдасуы. Ашытқы клеткаларының плазмидалық трансформациясы.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S. cerevisiae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молекулалық векторлары. Интеграция векторлары. Клондаушы векторлар. Жасанды УАС хромосомасы</w:t>
            </w:r>
          </w:p>
        </w:tc>
      </w:tr>
      <w:tr w:rsidR="00324A11" w:rsidRPr="00410BBB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10</w:t>
            </w:r>
          </w:p>
        </w:tc>
        <w:tc>
          <w:tcPr>
            <w:tcW w:w="8979" w:type="dxa"/>
          </w:tcPr>
          <w:p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Жәндіктердің вирусы  бөгде генді жоғары дәрежеде экспрессиялаушы векторлар ретінде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Бакуловирустардың молекулалық-генетикалық ұйымдасуы. Бакуловирустардың геномының құрамындағы бөтен гендерді экспрессиялау және клондау.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Bac-to-Bac гибридті бакуловирустарын құрастырудың жеңілдетілген жүйесі.</w:t>
            </w:r>
          </w:p>
        </w:tc>
      </w:tr>
      <w:tr w:rsidR="00324A11" w:rsidRPr="00410BBB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11</w:t>
            </w:r>
          </w:p>
        </w:tc>
        <w:tc>
          <w:tcPr>
            <w:tcW w:w="8979" w:type="dxa"/>
          </w:tcPr>
          <w:p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Өсімдіктер гендік инженериясы.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Өсімдіктер селекциясының стандартты әдістері. Өсімдік ісігін индукциялайтын плазмидалар.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Өсімдіктерге бактериялардың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Agrobacterium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туысынан гендердің тасымалдануы.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Ті –плазмидасы. Ті-плазмидасының мутанттары.  Ті-плазмидасы негізіндегі векторлар.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A. tumefaciens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Тi плазмидаларын трансгенді өсімдіктерді шығаруда қолдану.</w:t>
            </w:r>
          </w:p>
        </w:tc>
      </w:tr>
      <w:tr w:rsidR="00324A11" w:rsidRPr="00324A11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12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Трансгенді өсімдіктерді алу.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Трансгенді өсімдіктерді </w:t>
            </w:r>
            <w:r w:rsidRPr="00712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A.tumefaciens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бинарлы векторлы жүйесі арқылы алу.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Т-ДНҚ.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Т-ДНҚ құрамы негізінде өсімдіктерге енгізілген, бөтен гендердің экспрессиясы мен тұқымқуалаушылығы.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Өсімдік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клеткаларын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протопластарды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трансформациялау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324A11" w:rsidRPr="00324A11" w:rsidTr="00012D73">
        <w:trPr>
          <w:trHeight w:val="465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13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Жануарлар гендік инженериясы.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Сүтқоректілер клеткаларының генетикалық трансформациясы.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Бөгде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ДНҚ-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ны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жануар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клеткаларына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енгізу</w:t>
            </w:r>
            <w:proofErr w:type="spellEnd"/>
            <w:r w:rsidRPr="00324A11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:</w:t>
            </w:r>
          </w:p>
        </w:tc>
      </w:tr>
      <w:tr w:rsidR="00324A11" w:rsidRPr="00410BBB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t>14</w:t>
            </w:r>
          </w:p>
        </w:tc>
        <w:tc>
          <w:tcPr>
            <w:tcW w:w="8979" w:type="dxa"/>
          </w:tcPr>
          <w:p w:rsidR="00324A11" w:rsidRPr="00712643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26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Трансгенді жануарларды алу әдістері.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Ооциттар микроинъекциясы, Ядро алмастыру әдісі, Ретровирустар, Эмбриональді бағаналы клеткалар. Трансгенді жануарлардың биотехнологиялық қолданылуы. Трансгнеді жануарлардың фундаментальді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зерттеулерде қолданылуы, нокаутты тышқандар.</w:t>
            </w:r>
          </w:p>
        </w:tc>
      </w:tr>
      <w:tr w:rsidR="00324A11" w:rsidRPr="00324A11" w:rsidTr="00012D73">
        <w:trPr>
          <w:trHeight w:val="639"/>
        </w:trPr>
        <w:tc>
          <w:tcPr>
            <w:tcW w:w="595" w:type="dxa"/>
          </w:tcPr>
          <w:p w:rsidR="00324A11" w:rsidRPr="00324A11" w:rsidRDefault="00324A11" w:rsidP="00012D73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324A1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979" w:type="dxa"/>
          </w:tcPr>
          <w:p w:rsidR="00324A11" w:rsidRPr="00324A11" w:rsidRDefault="00324A11" w:rsidP="00012D73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126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Гендік терапия.</w:t>
            </w:r>
            <w:r w:rsidRPr="0071264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Оның негізгі принциптері.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Рекомбинантты ДНҚ және тұқым қуалайтын ауырулар.  </w:t>
            </w:r>
            <w:r w:rsidRPr="0071264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 Метоболизмнің тұқым қуалайтын деффекттері.  ДНҚ молекуласын талдау негізіндегі тұқым қуалайтын ауырулардың диагнозы. 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Тұқым қуалайтын аурулур туралы жалпы түсінік. </w:t>
            </w:r>
            <w:r w:rsidRPr="00712643">
              <w:rPr>
                <w:rFonts w:ascii="Times New Roman" w:hAnsi="Times New Roman" w:cs="Times New Roman"/>
                <w:bCs/>
                <w:sz w:val="24"/>
                <w:szCs w:val="24"/>
                <w:lang w:val="kk-KZ" w:eastAsia="ko-KR"/>
              </w:rPr>
              <w:t xml:space="preserve">Гендік терапия. Оның негізгі принциптері. </w:t>
            </w:r>
            <w:r w:rsidRPr="0071264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Гендік терапия ex vivo.  Гендік терапия in vivo.  Генді межелі мүшеге жеткізудің вирустың жүйесі.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Генетикалық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деффектілерді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олигонуклеотидтер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көмегімен</w:t>
            </w:r>
            <w:proofErr w:type="spellEnd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4A1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түзету</w:t>
            </w:r>
            <w:proofErr w:type="spellEnd"/>
          </w:p>
        </w:tc>
      </w:tr>
    </w:tbl>
    <w:p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24A11" w:rsidRDefault="00324A11" w:rsidP="00830872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324A11" w:rsidRPr="00324A11" w:rsidRDefault="00324A11" w:rsidP="00324A11">
      <w:pPr>
        <w:spacing w:before="90" w:line="274" w:lineRule="exact"/>
        <w:ind w:left="423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4A11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324A11">
        <w:rPr>
          <w:rFonts w:ascii="Times New Roman" w:hAnsi="Times New Roman" w:cs="Times New Roman"/>
          <w:b/>
          <w:sz w:val="28"/>
          <w:szCs w:val="28"/>
        </w:rPr>
        <w:t>:</w:t>
      </w:r>
    </w:p>
    <w:p w:rsidR="00324A11" w:rsidRPr="009A53A6" w:rsidRDefault="00324A11" w:rsidP="009A53A6">
      <w:pPr>
        <w:pStyle w:val="af0"/>
        <w:rPr>
          <w:rFonts w:ascii="Times New Roman" w:hAnsi="Times New Roman"/>
          <w:b/>
          <w:sz w:val="28"/>
          <w:szCs w:val="28"/>
        </w:rPr>
      </w:pPr>
      <w:proofErr w:type="spellStart"/>
      <w:r w:rsidRPr="009A53A6">
        <w:rPr>
          <w:rFonts w:ascii="Times New Roman" w:hAnsi="Times New Roman"/>
          <w:b/>
          <w:sz w:val="28"/>
          <w:szCs w:val="28"/>
        </w:rPr>
        <w:t>Негізгі</w:t>
      </w:r>
      <w:proofErr w:type="spellEnd"/>
      <w:r w:rsidRPr="009A53A6">
        <w:rPr>
          <w:rFonts w:ascii="Times New Roman" w:hAnsi="Times New Roman"/>
          <w:b/>
          <w:sz w:val="28"/>
          <w:szCs w:val="28"/>
        </w:rPr>
        <w:t>:</w:t>
      </w:r>
    </w:p>
    <w:p w:rsidR="00324A11" w:rsidRPr="00324A11" w:rsidRDefault="00324A11" w:rsidP="009A53A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24A11">
        <w:rPr>
          <w:rFonts w:ascii="Times New Roman" w:hAnsi="Times New Roman" w:cs="Times New Roman"/>
          <w:snapToGrid w:val="0"/>
          <w:sz w:val="28"/>
          <w:szCs w:val="28"/>
        </w:rPr>
        <w:t>С.Н. Щелкунов “Генетическая инженерия”, СУИ, Новосибирск – 20</w:t>
      </w:r>
      <w:r w:rsidR="00EA0EE9">
        <w:rPr>
          <w:rFonts w:ascii="Times New Roman" w:hAnsi="Times New Roman" w:cs="Times New Roman"/>
          <w:snapToGrid w:val="0"/>
          <w:sz w:val="28"/>
          <w:szCs w:val="28"/>
          <w:lang w:val="kk-KZ"/>
        </w:rPr>
        <w:t>10</w:t>
      </w:r>
      <w:r w:rsidRPr="00324A11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24A11" w:rsidRPr="00324A11" w:rsidRDefault="00324A11" w:rsidP="009A53A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24A11">
        <w:rPr>
          <w:rFonts w:ascii="Times New Roman" w:hAnsi="Times New Roman" w:cs="Times New Roman"/>
          <w:snapToGrid w:val="0"/>
          <w:sz w:val="28"/>
          <w:szCs w:val="28"/>
        </w:rPr>
        <w:t xml:space="preserve">Б. </w:t>
      </w:r>
      <w:proofErr w:type="spellStart"/>
      <w:r w:rsidRPr="00324A11">
        <w:rPr>
          <w:rFonts w:ascii="Times New Roman" w:hAnsi="Times New Roman" w:cs="Times New Roman"/>
          <w:snapToGrid w:val="0"/>
          <w:sz w:val="28"/>
          <w:szCs w:val="28"/>
        </w:rPr>
        <w:t>Глик</w:t>
      </w:r>
      <w:proofErr w:type="spellEnd"/>
      <w:r w:rsidRPr="00324A11">
        <w:rPr>
          <w:rFonts w:ascii="Times New Roman" w:hAnsi="Times New Roman" w:cs="Times New Roman"/>
          <w:snapToGrid w:val="0"/>
          <w:sz w:val="28"/>
          <w:szCs w:val="28"/>
        </w:rPr>
        <w:t xml:space="preserve">, Дж. Пастернак “Молекулярная биотехнология. Принципы и применение”, М., “Мир”, 2002. </w:t>
      </w:r>
    </w:p>
    <w:p w:rsidR="00324A11" w:rsidRPr="00EA0EE9" w:rsidRDefault="00EA0EE9" w:rsidP="009A53A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EA0EE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Б.Люин </w:t>
      </w:r>
      <w:r w:rsidRPr="00EA0EE9">
        <w:rPr>
          <w:rFonts w:ascii="Times New Roman" w:hAnsi="Times New Roman" w:cs="Times New Roman"/>
          <w:snapToGrid w:val="0"/>
          <w:sz w:val="28"/>
          <w:szCs w:val="28"/>
        </w:rPr>
        <w:t>“</w:t>
      </w:r>
      <w:r w:rsidRPr="00EA0EE9">
        <w:rPr>
          <w:rFonts w:ascii="Times New Roman" w:hAnsi="Times New Roman" w:cs="Times New Roman"/>
          <w:sz w:val="28"/>
          <w:szCs w:val="28"/>
          <w:lang w:val="kk-KZ" w:eastAsia="ko-KR"/>
        </w:rPr>
        <w:t>Гены</w:t>
      </w:r>
      <w:r w:rsidRPr="00EA0EE9">
        <w:rPr>
          <w:rFonts w:ascii="Times New Roman" w:hAnsi="Times New Roman" w:cs="Times New Roman"/>
          <w:snapToGrid w:val="0"/>
          <w:sz w:val="28"/>
          <w:szCs w:val="28"/>
        </w:rPr>
        <w:t>”</w:t>
      </w:r>
      <w:r w:rsidRPr="00EA0EE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Бином, </w:t>
      </w:r>
      <w:r w:rsidRPr="00EA0EE9">
        <w:rPr>
          <w:rStyle w:val="af1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2012</w:t>
      </w:r>
      <w:r w:rsidRPr="00EA0EE9">
        <w:rPr>
          <w:rFonts w:ascii="Times New Roman" w:hAnsi="Times New Roman" w:cs="Times New Roman"/>
          <w:sz w:val="28"/>
          <w:szCs w:val="28"/>
          <w:shd w:val="clear" w:color="auto" w:fill="FFFFFF"/>
        </w:rPr>
        <w:t>, 9-е издание</w:t>
      </w:r>
      <w:r w:rsidR="009A53A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EA0EE9" w:rsidRDefault="009A53A6" w:rsidP="009A53A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9A53A6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9A53A6">
        <w:rPr>
          <w:rFonts w:ascii="Times New Roman" w:hAnsi="Times New Roman" w:cs="Times New Roman"/>
          <w:sz w:val="28"/>
          <w:szCs w:val="28"/>
        </w:rPr>
        <w:t xml:space="preserve"> М.Р. </w:t>
      </w:r>
      <w:r w:rsidR="00EA0EE9" w:rsidRPr="009A53A6">
        <w:rPr>
          <w:rFonts w:ascii="Times New Roman" w:hAnsi="Times New Roman" w:cs="Times New Roman"/>
          <w:sz w:val="28"/>
          <w:szCs w:val="28"/>
        </w:rPr>
        <w:t>Курс лекций по генетической инженерии: учебное пособие</w:t>
      </w:r>
      <w:r w:rsidRPr="009A53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A53A6">
        <w:rPr>
          <w:rFonts w:ascii="Times New Roman" w:hAnsi="Times New Roman" w:cs="Times New Roman"/>
          <w:sz w:val="28"/>
          <w:szCs w:val="28"/>
        </w:rPr>
        <w:t xml:space="preserve">Казань: К(П)ФУ, 2015. </w:t>
      </w:r>
      <w:r w:rsidR="00EA0EE9" w:rsidRPr="009A53A6">
        <w:rPr>
          <w:rFonts w:ascii="Times New Roman" w:hAnsi="Times New Roman" w:cs="Times New Roman"/>
          <w:sz w:val="28"/>
          <w:szCs w:val="28"/>
        </w:rPr>
        <w:t>114с.</w:t>
      </w:r>
    </w:p>
    <w:p w:rsidR="009A53A6" w:rsidRPr="009A53A6" w:rsidRDefault="009A53A6" w:rsidP="009A53A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A53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Журавлева Г.А. Генная инженерия в биотехнологии: учебник. - </w:t>
      </w:r>
      <w:proofErr w:type="gramStart"/>
      <w:r w:rsidRPr="009A53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СПб.:</w:t>
      </w:r>
      <w:proofErr w:type="gramEnd"/>
      <w:r w:rsidRPr="009A53A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Эко-Вектор, 2016. - 328 с.</w:t>
      </w:r>
    </w:p>
    <w:p w:rsidR="00324A11" w:rsidRPr="00324A11" w:rsidRDefault="00324A11" w:rsidP="00324A11">
      <w:pPr>
        <w:pStyle w:val="a5"/>
        <w:spacing w:after="0"/>
        <w:ind w:left="0"/>
        <w:jc w:val="both"/>
        <w:rPr>
          <w:sz w:val="28"/>
          <w:szCs w:val="28"/>
          <w:lang w:val="kk-KZ"/>
        </w:rPr>
      </w:pPr>
    </w:p>
    <w:p w:rsidR="00324A11" w:rsidRPr="00324A11" w:rsidRDefault="00324A11" w:rsidP="00324A11">
      <w:pPr>
        <w:pStyle w:val="a5"/>
        <w:spacing w:after="0"/>
        <w:ind w:left="0"/>
        <w:jc w:val="both"/>
        <w:rPr>
          <w:b/>
          <w:sz w:val="28"/>
          <w:szCs w:val="28"/>
          <w:u w:val="single"/>
          <w:lang w:val="kk-KZ"/>
        </w:rPr>
      </w:pPr>
      <w:r w:rsidRPr="00324A11">
        <w:rPr>
          <w:b/>
          <w:sz w:val="28"/>
          <w:szCs w:val="28"/>
          <w:u w:val="single"/>
          <w:lang w:val="kk-KZ"/>
        </w:rPr>
        <w:t xml:space="preserve">Қосымша </w:t>
      </w:r>
      <w:r w:rsidRPr="00324A11">
        <w:rPr>
          <w:b/>
          <w:sz w:val="28"/>
          <w:szCs w:val="28"/>
          <w:u w:val="single"/>
        </w:rPr>
        <w:t>: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11D6">
        <w:rPr>
          <w:rFonts w:ascii="Times New Roman" w:hAnsi="Times New Roman"/>
          <w:sz w:val="28"/>
          <w:szCs w:val="28"/>
        </w:rPr>
        <w:t>Уотсон Дж., Туз Дж., Куру Д.</w:t>
      </w:r>
      <w:r w:rsidRPr="00E211D6">
        <w:rPr>
          <w:rFonts w:ascii="Times New Roman" w:hAnsi="Times New Roman"/>
          <w:sz w:val="28"/>
          <w:szCs w:val="28"/>
          <w:lang w:val="kk-KZ"/>
        </w:rPr>
        <w:t xml:space="preserve"> Р</w:t>
      </w:r>
      <w:proofErr w:type="spellStart"/>
      <w:r w:rsidRPr="00E211D6">
        <w:rPr>
          <w:rFonts w:ascii="Times New Roman" w:hAnsi="Times New Roman"/>
          <w:sz w:val="28"/>
          <w:szCs w:val="28"/>
        </w:rPr>
        <w:t>екомбинантные</w:t>
      </w:r>
      <w:proofErr w:type="spellEnd"/>
      <w:r w:rsidRPr="00E211D6">
        <w:rPr>
          <w:rFonts w:ascii="Times New Roman" w:hAnsi="Times New Roman"/>
          <w:sz w:val="28"/>
          <w:szCs w:val="28"/>
        </w:rPr>
        <w:t xml:space="preserve"> ДНК. </w:t>
      </w:r>
      <w:proofErr w:type="gramStart"/>
      <w:r w:rsidRPr="00E211D6">
        <w:rPr>
          <w:rFonts w:ascii="Times New Roman" w:hAnsi="Times New Roman"/>
          <w:sz w:val="28"/>
          <w:szCs w:val="28"/>
        </w:rPr>
        <w:t>М.:Мир</w:t>
      </w:r>
      <w:proofErr w:type="gramEnd"/>
      <w:r w:rsidRPr="00E211D6">
        <w:rPr>
          <w:rFonts w:ascii="Times New Roman" w:hAnsi="Times New Roman"/>
          <w:sz w:val="28"/>
          <w:szCs w:val="28"/>
        </w:rPr>
        <w:t>,1986.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proofErr w:type="spellStart"/>
      <w:r w:rsidRPr="00E211D6">
        <w:rPr>
          <w:rFonts w:ascii="Times New Roman" w:hAnsi="Times New Roman"/>
          <w:sz w:val="28"/>
          <w:szCs w:val="28"/>
          <w:lang w:eastAsia="ko-KR"/>
        </w:rPr>
        <w:t>Маниатис</w:t>
      </w:r>
      <w:proofErr w:type="spell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 Т., </w:t>
      </w:r>
      <w:proofErr w:type="spellStart"/>
      <w:r w:rsidRPr="00E211D6">
        <w:rPr>
          <w:rFonts w:ascii="Times New Roman" w:hAnsi="Times New Roman"/>
          <w:sz w:val="28"/>
          <w:szCs w:val="28"/>
          <w:lang w:eastAsia="ko-KR"/>
        </w:rPr>
        <w:t>Фрич</w:t>
      </w:r>
      <w:proofErr w:type="spell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 Э., </w:t>
      </w:r>
      <w:proofErr w:type="spellStart"/>
      <w:r w:rsidRPr="00E211D6">
        <w:rPr>
          <w:rFonts w:ascii="Times New Roman" w:hAnsi="Times New Roman"/>
          <w:sz w:val="28"/>
          <w:szCs w:val="28"/>
          <w:lang w:eastAsia="ko-KR"/>
        </w:rPr>
        <w:t>Сэмбрук</w:t>
      </w:r>
      <w:proofErr w:type="spell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 Дж. Методы генетической инженерии. </w:t>
      </w:r>
      <w:proofErr w:type="gramStart"/>
      <w:r w:rsidRPr="00E211D6">
        <w:rPr>
          <w:rFonts w:ascii="Times New Roman" w:hAnsi="Times New Roman"/>
          <w:sz w:val="28"/>
          <w:szCs w:val="28"/>
          <w:lang w:eastAsia="ko-KR"/>
        </w:rPr>
        <w:t xml:space="preserve">Молекулярное </w:t>
      </w:r>
      <w:r w:rsidRPr="00E211D6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  <w:r w:rsidRPr="00E211D6">
        <w:rPr>
          <w:rFonts w:ascii="Times New Roman" w:hAnsi="Times New Roman"/>
          <w:sz w:val="28"/>
          <w:szCs w:val="28"/>
          <w:lang w:eastAsia="ko-KR"/>
        </w:rPr>
        <w:t>клонирование</w:t>
      </w:r>
      <w:proofErr w:type="gram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. М., Мир, 1984. 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r w:rsidRPr="00E211D6">
        <w:rPr>
          <w:rFonts w:ascii="Times New Roman" w:hAnsi="Times New Roman"/>
          <w:sz w:val="28"/>
          <w:szCs w:val="28"/>
          <w:lang w:eastAsia="ko-KR"/>
        </w:rPr>
        <w:t>Инге-</w:t>
      </w:r>
      <w:proofErr w:type="spellStart"/>
      <w:r w:rsidRPr="00E211D6">
        <w:rPr>
          <w:rFonts w:ascii="Times New Roman" w:hAnsi="Times New Roman"/>
          <w:sz w:val="28"/>
          <w:szCs w:val="28"/>
          <w:lang w:eastAsia="ko-KR"/>
        </w:rPr>
        <w:t>Вечтомов</w:t>
      </w:r>
      <w:proofErr w:type="spell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 С.Г. Введение в молекулярную генетику. М., ВШ, 1983. 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r w:rsidRPr="00E211D6">
        <w:rPr>
          <w:rFonts w:ascii="Times New Roman" w:hAnsi="Times New Roman"/>
          <w:sz w:val="28"/>
          <w:szCs w:val="28"/>
          <w:lang w:eastAsia="ko-KR"/>
        </w:rPr>
        <w:t xml:space="preserve">Новое в клонировании ДНК. Методы. М., Мир, 1989 (под ред. Д. </w:t>
      </w:r>
      <w:proofErr w:type="spellStart"/>
      <w:r w:rsidRPr="00E211D6">
        <w:rPr>
          <w:rFonts w:ascii="Times New Roman" w:hAnsi="Times New Roman"/>
          <w:sz w:val="28"/>
          <w:szCs w:val="28"/>
          <w:lang w:eastAsia="ko-KR"/>
        </w:rPr>
        <w:t>Гловера</w:t>
      </w:r>
      <w:proofErr w:type="spell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). </w:t>
      </w:r>
      <w:r w:rsidRPr="00E211D6">
        <w:rPr>
          <w:rFonts w:ascii="Times New Roman" w:hAnsi="Times New Roman"/>
          <w:sz w:val="28"/>
          <w:szCs w:val="28"/>
          <w:lang w:val="kk-KZ" w:eastAsia="ko-KR"/>
        </w:rPr>
        <w:t>Б</w:t>
      </w:r>
      <w:r w:rsidRPr="00E211D6">
        <w:rPr>
          <w:rFonts w:ascii="Times New Roman" w:hAnsi="Times New Roman"/>
          <w:sz w:val="28"/>
          <w:szCs w:val="28"/>
          <w:lang w:eastAsia="ko-KR"/>
        </w:rPr>
        <w:t xml:space="preserve">. </w:t>
      </w:r>
      <w:proofErr w:type="spellStart"/>
      <w:r w:rsidRPr="00E211D6">
        <w:rPr>
          <w:rFonts w:ascii="Times New Roman" w:hAnsi="Times New Roman"/>
          <w:sz w:val="28"/>
          <w:szCs w:val="28"/>
          <w:lang w:eastAsia="ko-KR"/>
        </w:rPr>
        <w:t>Льюин</w:t>
      </w:r>
      <w:proofErr w:type="spellEnd"/>
      <w:r w:rsidRPr="00E211D6">
        <w:rPr>
          <w:rFonts w:ascii="Times New Roman" w:hAnsi="Times New Roman"/>
          <w:sz w:val="28"/>
          <w:szCs w:val="28"/>
          <w:lang w:eastAsia="ko-KR"/>
        </w:rPr>
        <w:t xml:space="preserve">. Гены. М., Мир, 1987. 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ko-KR"/>
        </w:rPr>
      </w:pPr>
      <w:r w:rsidRPr="00E211D6">
        <w:rPr>
          <w:rFonts w:ascii="Times New Roman" w:hAnsi="Times New Roman"/>
          <w:sz w:val="28"/>
          <w:szCs w:val="28"/>
          <w:lang w:eastAsia="ko-KR"/>
        </w:rPr>
        <w:t xml:space="preserve">Пирузян Э.С. Основы генетической инженерии растений. М., Наука, 1988. 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E211D6">
        <w:rPr>
          <w:rFonts w:ascii="Times New Roman" w:hAnsi="Times New Roman" w:cs="Times New Roman"/>
          <w:sz w:val="28"/>
          <w:szCs w:val="28"/>
          <w:lang w:eastAsia="ko-KR"/>
        </w:rPr>
        <w:t xml:space="preserve">М. </w:t>
      </w:r>
      <w:proofErr w:type="spellStart"/>
      <w:r w:rsidRPr="00E211D6">
        <w:rPr>
          <w:rFonts w:ascii="Times New Roman" w:hAnsi="Times New Roman" w:cs="Times New Roman"/>
          <w:sz w:val="28"/>
          <w:szCs w:val="28"/>
          <w:lang w:eastAsia="ko-KR"/>
        </w:rPr>
        <w:t>Пташне</w:t>
      </w:r>
      <w:proofErr w:type="spellEnd"/>
      <w:r w:rsidRPr="00E211D6">
        <w:rPr>
          <w:rFonts w:ascii="Times New Roman" w:hAnsi="Times New Roman" w:cs="Times New Roman"/>
          <w:sz w:val="28"/>
          <w:szCs w:val="28"/>
          <w:lang w:eastAsia="ko-KR"/>
        </w:rPr>
        <w:t xml:space="preserve">. Переключение генов. Регуляция генной активности и фаг (. М., Мир, 1988. </w:t>
      </w:r>
    </w:p>
    <w:p w:rsidR="00E211D6" w:rsidRPr="00E211D6" w:rsidRDefault="00E211D6" w:rsidP="00E211D6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E211D6">
        <w:rPr>
          <w:rFonts w:ascii="Times New Roman" w:hAnsi="Times New Roman" w:cs="Times New Roman"/>
          <w:sz w:val="28"/>
          <w:szCs w:val="28"/>
          <w:lang w:eastAsia="ko-KR"/>
        </w:rPr>
        <w:t xml:space="preserve">Л. А. Остерман. Методы исследования белков и нуклеиновых кислот. Электрофорез и </w:t>
      </w:r>
      <w:proofErr w:type="spellStart"/>
      <w:r w:rsidRPr="00E211D6">
        <w:rPr>
          <w:rFonts w:ascii="Times New Roman" w:hAnsi="Times New Roman" w:cs="Times New Roman"/>
          <w:sz w:val="28"/>
          <w:szCs w:val="28"/>
          <w:lang w:eastAsia="ko-KR"/>
        </w:rPr>
        <w:t>ультрацентрифугирование</w:t>
      </w:r>
      <w:proofErr w:type="spellEnd"/>
      <w:r w:rsidRPr="00E211D6">
        <w:rPr>
          <w:rFonts w:ascii="Times New Roman" w:hAnsi="Times New Roman" w:cs="Times New Roman"/>
          <w:sz w:val="28"/>
          <w:szCs w:val="28"/>
          <w:lang w:eastAsia="ko-KR"/>
        </w:rPr>
        <w:t>. М., Наука, 1981.</w:t>
      </w:r>
    </w:p>
    <w:p w:rsidR="00324A11" w:rsidRPr="00324A11" w:rsidRDefault="00324A11" w:rsidP="00324A11">
      <w:pPr>
        <w:pStyle w:val="af0"/>
        <w:rPr>
          <w:rFonts w:ascii="Times New Roman" w:hAnsi="Times New Roman"/>
          <w:b/>
          <w:sz w:val="28"/>
          <w:szCs w:val="28"/>
        </w:rPr>
      </w:pPr>
      <w:r w:rsidRPr="00324A11">
        <w:rPr>
          <w:rFonts w:ascii="Times New Roman" w:hAnsi="Times New Roman"/>
          <w:b/>
          <w:sz w:val="28"/>
          <w:szCs w:val="28"/>
        </w:rPr>
        <w:t>Интернет-</w:t>
      </w:r>
      <w:r w:rsidRPr="00324A11">
        <w:rPr>
          <w:rFonts w:ascii="Times New Roman" w:hAnsi="Times New Roman"/>
          <w:b/>
          <w:sz w:val="28"/>
          <w:szCs w:val="28"/>
          <w:lang w:val="kk-KZ"/>
        </w:rPr>
        <w:t>көздері</w:t>
      </w:r>
      <w:r w:rsidRPr="00324A11">
        <w:rPr>
          <w:rFonts w:ascii="Times New Roman" w:hAnsi="Times New Roman"/>
          <w:b/>
          <w:sz w:val="28"/>
          <w:szCs w:val="28"/>
        </w:rPr>
        <w:t xml:space="preserve">: </w:t>
      </w:r>
    </w:p>
    <w:p w:rsidR="00324A11" w:rsidRPr="00324A11" w:rsidRDefault="00410BBB" w:rsidP="00324A11">
      <w:pPr>
        <w:pStyle w:val="af0"/>
        <w:rPr>
          <w:rFonts w:ascii="Times New Roman" w:hAnsi="Times New Roman"/>
          <w:sz w:val="28"/>
          <w:szCs w:val="28"/>
        </w:rPr>
      </w:pPr>
      <w:hyperlink r:id="rId5" w:history="1">
        <w:r w:rsidR="00324A11" w:rsidRPr="00324A11">
          <w:rPr>
            <w:rStyle w:val="ad"/>
            <w:rFonts w:ascii="Times New Roman" w:hAnsi="Times New Roman"/>
            <w:sz w:val="28"/>
            <w:szCs w:val="28"/>
          </w:rPr>
          <w:t>http://molbiol.ru/protocol/</w:t>
        </w:r>
      </w:hyperlink>
    </w:p>
    <w:p w:rsidR="00324A11" w:rsidRPr="00324A11" w:rsidRDefault="00410BBB" w:rsidP="00324A11">
      <w:pPr>
        <w:pStyle w:val="af0"/>
        <w:rPr>
          <w:rFonts w:ascii="Times New Roman" w:hAnsi="Times New Roman"/>
          <w:sz w:val="28"/>
          <w:szCs w:val="28"/>
        </w:rPr>
      </w:pPr>
      <w:hyperlink r:id="rId6" w:history="1">
        <w:r w:rsidR="00324A11" w:rsidRPr="00324A11">
          <w:rPr>
            <w:rStyle w:val="ad"/>
            <w:rFonts w:ascii="Times New Roman" w:hAnsi="Times New Roman"/>
            <w:sz w:val="28"/>
            <w:szCs w:val="28"/>
          </w:rPr>
          <w:t>http://molbiol.edu.ru/</w:t>
        </w:r>
      </w:hyperlink>
    </w:p>
    <w:p w:rsidR="00324A11" w:rsidRPr="009A53A6" w:rsidRDefault="009A53A6" w:rsidP="009A53A6">
      <w:pPr>
        <w:tabs>
          <w:tab w:val="left" w:pos="482"/>
        </w:tabs>
        <w:spacing w:line="274" w:lineRule="exact"/>
        <w:ind w:hanging="222"/>
        <w:rPr>
          <w:rFonts w:ascii="Times New Roman" w:hAnsi="Times New Roman" w:cs="Times New Roman"/>
          <w:sz w:val="28"/>
          <w:szCs w:val="28"/>
        </w:rPr>
      </w:pPr>
      <w:r w:rsidRPr="009A53A6">
        <w:rPr>
          <w:rStyle w:val="ad"/>
          <w:rFonts w:ascii="Times New Roman" w:hAnsi="Times New Roman" w:cs="Times New Roman"/>
          <w:sz w:val="28"/>
          <w:szCs w:val="28"/>
          <w:u w:val="none"/>
          <w:lang w:val="kk-KZ"/>
        </w:rPr>
        <w:t xml:space="preserve">   </w:t>
      </w:r>
      <w:hyperlink r:id="rId7" w:history="1">
        <w:r w:rsidR="00324A11" w:rsidRPr="00324A11">
          <w:rPr>
            <w:rStyle w:val="ad"/>
            <w:rFonts w:ascii="Times New Roman" w:hAnsi="Times New Roman" w:cs="Times New Roman"/>
            <w:sz w:val="28"/>
            <w:szCs w:val="28"/>
          </w:rPr>
          <w:t>https://biomolecula.ru/</w:t>
        </w:r>
      </w:hyperlink>
    </w:p>
    <w:sectPr w:rsidR="00324A11" w:rsidRPr="009A53A6" w:rsidSect="000B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784"/>
    <w:multiLevelType w:val="hybridMultilevel"/>
    <w:tmpl w:val="2CBA215C"/>
    <w:lvl w:ilvl="0" w:tplc="A15CD2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73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B41E53"/>
    <w:multiLevelType w:val="hybridMultilevel"/>
    <w:tmpl w:val="05AC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B1D72"/>
    <w:multiLevelType w:val="hybridMultilevel"/>
    <w:tmpl w:val="1604F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68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53A08"/>
    <w:multiLevelType w:val="hybridMultilevel"/>
    <w:tmpl w:val="86D2BF08"/>
    <w:lvl w:ilvl="0" w:tplc="26E68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AD658D2"/>
    <w:multiLevelType w:val="singleLevel"/>
    <w:tmpl w:val="3F10B8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C990332"/>
    <w:multiLevelType w:val="hybridMultilevel"/>
    <w:tmpl w:val="7752E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90212"/>
    <w:multiLevelType w:val="hybridMultilevel"/>
    <w:tmpl w:val="4C98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04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92"/>
    <w:rsid w:val="000A32EA"/>
    <w:rsid w:val="000B3B99"/>
    <w:rsid w:val="000D33F4"/>
    <w:rsid w:val="001031D9"/>
    <w:rsid w:val="003145AE"/>
    <w:rsid w:val="00324A11"/>
    <w:rsid w:val="0034305F"/>
    <w:rsid w:val="00410BBB"/>
    <w:rsid w:val="004634BA"/>
    <w:rsid w:val="00490CB1"/>
    <w:rsid w:val="00712643"/>
    <w:rsid w:val="00747E50"/>
    <w:rsid w:val="007D1E92"/>
    <w:rsid w:val="007E1199"/>
    <w:rsid w:val="00830872"/>
    <w:rsid w:val="009A53A6"/>
    <w:rsid w:val="009E1370"/>
    <w:rsid w:val="00AB2C76"/>
    <w:rsid w:val="00B74BD7"/>
    <w:rsid w:val="00C15A07"/>
    <w:rsid w:val="00CB7D9F"/>
    <w:rsid w:val="00D47CD7"/>
    <w:rsid w:val="00DC2627"/>
    <w:rsid w:val="00E0126A"/>
    <w:rsid w:val="00E211D6"/>
    <w:rsid w:val="00E31CC9"/>
    <w:rsid w:val="00E8641E"/>
    <w:rsid w:val="00EA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9D341-4905-45D0-A455-ABC7EF98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99"/>
  </w:style>
  <w:style w:type="paragraph" w:styleId="1">
    <w:name w:val="heading 1"/>
    <w:basedOn w:val="a"/>
    <w:next w:val="a"/>
    <w:link w:val="10"/>
    <w:uiPriority w:val="9"/>
    <w:qFormat/>
    <w:rsid w:val="007D1E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7D1E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7D1E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7D1E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D1E9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D1E92"/>
    <w:pPr>
      <w:spacing w:after="120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1E92"/>
    <w:rPr>
      <w:rFonts w:ascii="Times New Roman" w:eastAsiaTheme="minorHAnsi" w:hAnsi="Times New Roman"/>
      <w:sz w:val="16"/>
      <w:szCs w:val="16"/>
      <w:lang w:eastAsia="en-US"/>
    </w:rPr>
  </w:style>
  <w:style w:type="paragraph" w:styleId="a7">
    <w:name w:val="Plain Text"/>
    <w:basedOn w:val="a"/>
    <w:link w:val="a8"/>
    <w:unhideWhenUsed/>
    <w:rsid w:val="007D1E92"/>
    <w:pPr>
      <w:autoSpaceDE w:val="0"/>
      <w:autoSpaceDN w:val="0"/>
      <w:spacing w:before="100" w:after="100" w:line="24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7D1E9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D1E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rsid w:val="007D1E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8308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nhideWhenUsed/>
    <w:rsid w:val="00830872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</w:rPr>
  </w:style>
  <w:style w:type="character" w:customStyle="1" w:styleId="shorttext">
    <w:name w:val="short_text"/>
    <w:basedOn w:val="a0"/>
    <w:rsid w:val="00830872"/>
  </w:style>
  <w:style w:type="character" w:styleId="ad">
    <w:name w:val="Hyperlink"/>
    <w:basedOn w:val="a0"/>
    <w:unhideWhenUsed/>
    <w:rsid w:val="00830872"/>
    <w:rPr>
      <w:color w:val="0000FF"/>
      <w:u w:val="single"/>
    </w:rPr>
  </w:style>
  <w:style w:type="paragraph" w:customStyle="1" w:styleId="xmsolistparagraph">
    <w:name w:val="x_msolistparagraph"/>
    <w:basedOn w:val="a"/>
    <w:rsid w:val="0010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31D9"/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DC262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4A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324A11"/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324A1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4A11"/>
    <w:pPr>
      <w:widowControl w:val="0"/>
      <w:autoSpaceDE w:val="0"/>
      <w:autoSpaceDN w:val="0"/>
      <w:spacing w:after="0" w:line="256" w:lineRule="exact"/>
      <w:ind w:left="104"/>
    </w:pPr>
    <w:rPr>
      <w:rFonts w:ascii="Times New Roman" w:eastAsia="Times New Roman" w:hAnsi="Times New Roman" w:cs="Times New Roman"/>
      <w:lang w:val="kk-KZ" w:eastAsia="en-US"/>
    </w:rPr>
  </w:style>
  <w:style w:type="paragraph" w:styleId="af0">
    <w:name w:val="No Spacing"/>
    <w:uiPriority w:val="1"/>
    <w:qFormat/>
    <w:rsid w:val="00324A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1">
    <w:name w:val="Emphasis"/>
    <w:basedOn w:val="a0"/>
    <w:uiPriority w:val="20"/>
    <w:qFormat/>
    <w:rsid w:val="00EA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omolecula.ru/articles/12-metodov-v-kartinkakh-gennaia-inzheneriia-chast-i-istoricheska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lbiol.edu.ru/" TargetMode="External"/><Relationship Id="rId5" Type="http://schemas.openxmlformats.org/officeDocument/2006/relationships/hyperlink" Target="http://molbiol.ru/protoc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Professional</cp:lastModifiedBy>
  <cp:revision>8</cp:revision>
  <dcterms:created xsi:type="dcterms:W3CDTF">2021-01-22T08:26:00Z</dcterms:created>
  <dcterms:modified xsi:type="dcterms:W3CDTF">2021-09-19T16:33:00Z</dcterms:modified>
</cp:coreProperties>
</file>